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both"/>
        <w:rPr>
          <w:rFonts w:ascii="Manrope" w:cs="Manrope" w:eastAsia="Manrope" w:hAnsi="Manrop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Manrope" w:cs="Manrope" w:eastAsia="Manrope" w:hAnsi="Manrope"/>
          <w:b w:val="1"/>
        </w:rPr>
      </w:pPr>
      <w:r w:rsidDel="00000000" w:rsidR="00000000" w:rsidRPr="00000000">
        <w:rPr>
          <w:rFonts w:ascii="Manrope" w:cs="Manrope" w:eastAsia="Manrope" w:hAnsi="Manrope"/>
          <w:b w:val="1"/>
          <w:rtl w:val="0"/>
        </w:rPr>
        <w:t xml:space="preserve">Cryptographic Puzzle Task: Rubric</w:t>
      </w:r>
    </w:p>
    <w:p w:rsidR="00000000" w:rsidDel="00000000" w:rsidP="00000000" w:rsidRDefault="00000000" w:rsidRPr="00000000" w14:paraId="00000003">
      <w:pPr>
        <w:rPr>
          <w:rFonts w:ascii="Manrope" w:cs="Manrope" w:eastAsia="Manrope" w:hAnsi="Manrop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60"/>
        <w:gridCol w:w="1740"/>
        <w:gridCol w:w="1980"/>
        <w:gridCol w:w="1720"/>
        <w:gridCol w:w="1920"/>
        <w:gridCol w:w="1780"/>
        <w:tblGridChange w:id="0">
          <w:tblGrid>
            <w:gridCol w:w="1660"/>
            <w:gridCol w:w="1740"/>
            <w:gridCol w:w="1980"/>
            <w:gridCol w:w="1720"/>
            <w:gridCol w:w="1920"/>
            <w:gridCol w:w="1780"/>
          </w:tblGrid>
        </w:tblGridChange>
      </w:tblGrid>
      <w:tr>
        <w:trPr>
          <w:cantSplit w:val="0"/>
          <w:trHeight w:val="1070" w:hRule="atLeast"/>
          <w:tblHeader w:val="0"/>
        </w:trPr>
        <w:tc>
          <w:tcPr>
            <w:tcBorders>
              <w:top w:color="d9d9e3" w:space="0" w:sz="6" w:val="single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Criteria</w:t>
            </w:r>
          </w:p>
        </w:tc>
        <w:tc>
          <w:tcPr>
            <w:tcBorders>
              <w:top w:color="d9d9e3" w:space="0" w:sz="6" w:val="single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Not Satisfactory</w:t>
            </w:r>
          </w:p>
        </w:tc>
        <w:tc>
          <w:tcPr>
            <w:tcBorders>
              <w:top w:color="d9d9e3" w:space="0" w:sz="6" w:val="single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Requires Development</w:t>
            </w:r>
          </w:p>
        </w:tc>
        <w:tc>
          <w:tcPr>
            <w:tcBorders>
              <w:top w:color="d9d9e3" w:space="0" w:sz="6" w:val="single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Satisfactory</w:t>
            </w:r>
          </w:p>
        </w:tc>
        <w:tc>
          <w:tcPr>
            <w:tcBorders>
              <w:top w:color="d9d9e3" w:space="0" w:sz="6" w:val="single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Good</w:t>
            </w:r>
          </w:p>
        </w:tc>
        <w:tc>
          <w:tcPr>
            <w:tcBorders>
              <w:top w:color="d9d9e3" w:space="0" w:sz="6" w:val="single"/>
              <w:left w:color="d9d9e3" w:space="0" w:sz="6" w:val="single"/>
              <w:bottom w:color="d9d9e3" w:space="0" w:sz="6" w:val="single"/>
              <w:right w:color="d9d9e3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Excellent</w:t>
            </w:r>
          </w:p>
        </w:tc>
      </w:tr>
      <w:tr>
        <w:trPr>
          <w:cantSplit w:val="0"/>
          <w:trHeight w:val="4295" w:hRule="atLeast"/>
          <w:tblHeader w:val="0"/>
        </w:trPr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Collaboration &amp; Contribution Skills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Minimal collaboration with partner and limited communication.</w:t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One partner dominated the work while the other was mostly uninvolved.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Limited collaboration with partner with some communication. Unequal contribution in the partnership.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Collaborative effort with  effective communication. Balanced contribution in the partnership.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Strong collaboration with proactive communication. Partners equally contributed to puzzle creation.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d9d9e3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Outstanding collaboration with seamless communication. Both partners contributed equally and effectively to the puzzles creation playing into each other strengths.</w:t>
            </w:r>
          </w:p>
        </w:tc>
      </w:tr>
      <w:tr>
        <w:trPr>
          <w:cantSplit w:val="0"/>
          <w:trHeight w:val="4295" w:hRule="atLeast"/>
          <w:tblHeader w:val="0"/>
        </w:trPr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Creativity and Complexity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puzzle lacks creativity and is overly simplistic. The encryption method is not clear.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puzzle demonstrates some creativity but lacks complexity. The encryption method is explained, but it could be more inventive.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puzzle shows creativity and moderate complexity. The encryption method is clear and suitable.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puzzle is creative and sufficiently complex. The encryption method is well-chosen and well-explained.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d9d9e3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puzzle is highly creative, exceptionally complex, and uses an innovative encryption method.</w:t>
            </w:r>
          </w:p>
        </w:tc>
      </w:tr>
      <w:tr>
        <w:trPr>
          <w:cantSplit w:val="0"/>
          <w:trHeight w:val="3215" w:hRule="atLeast"/>
          <w:tblHeader w:val="0"/>
        </w:trPr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Understanding and implementation of Encryption Techniques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chosen encryption technique is inappropriate or explained inadequately.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encryption technique is suitable but could be better explained.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encryption technique is appropriate and adequately explained.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encryption technique is well-suited, and the explanation is clear and concise.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d9d9e3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encryption technique is exceptionally well-chosen and thoroughly explained.</w:t>
            </w:r>
          </w:p>
        </w:tc>
      </w:tr>
      <w:tr>
        <w:trPr>
          <w:cantSplit w:val="0"/>
          <w:trHeight w:val="3935" w:hRule="atLeast"/>
          <w:tblHeader w:val="0"/>
        </w:trPr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Clarity of Instructions &amp; Hints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Instructions are unclear or incomplete, making it challenging to solve the puzzle. Hints are missing or confusing.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Instructions are somewhat clear, but improvements are needed for better comprehension. Hints are partially effective.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Instructions are clear, providing a reasonable guide for solving the puzzle. Hints are helpful.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Instructions are very clear, making it easy for others to understand how to solve the puzzle. Hints are highly effective.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d9d9e3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Instructions are exceptionally clear, leaving no room for confusion. Hints are masterfully crafted.</w:t>
            </w:r>
          </w:p>
        </w:tc>
      </w:tr>
      <w:tr>
        <w:trPr>
          <w:cantSplit w:val="0"/>
          <w:trHeight w:val="4295" w:hRule="atLeast"/>
          <w:tblHeader w:val="0"/>
        </w:trPr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Presentation and peer Engagement to the testing of others puzzles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student did not actively engage in attempting to solve peers' puzzles.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student makes minimal attempts to solve peers' puzzles but lacks engagement.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student actively participates in solving peers' puzzles and collaborates effectively.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student engages enthusiastically in solving peers' puzzles and contributes to group discussions.</w:t>
            </w:r>
          </w:p>
        </w:tc>
        <w:tc>
          <w:tcPr>
            <w:tcBorders>
              <w:top w:color="000000" w:space="0" w:sz="0" w:val="nil"/>
              <w:left w:color="d9d9e3" w:space="0" w:sz="6" w:val="single"/>
              <w:bottom w:color="d9d9e3" w:space="0" w:sz="6" w:val="single"/>
              <w:right w:color="d9d9e3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Manrope" w:cs="Manrope" w:eastAsia="Manrope" w:hAnsi="Manrope"/>
              </w:rPr>
            </w:pPr>
            <w:r w:rsidDel="00000000" w:rsidR="00000000" w:rsidRPr="00000000">
              <w:rPr>
                <w:rFonts w:ascii="Manrope" w:cs="Manrope" w:eastAsia="Manrope" w:hAnsi="Manrope"/>
                <w:rtl w:val="0"/>
              </w:rPr>
              <w:t xml:space="preserve">The student demonstrates exceptional engagement, actively supporting peers and offering insightful contributions.</w:t>
            </w:r>
          </w:p>
        </w:tc>
      </w:tr>
    </w:tbl>
    <w:p w:rsidR="00000000" w:rsidDel="00000000" w:rsidP="00000000" w:rsidRDefault="00000000" w:rsidRPr="00000000" w14:paraId="0000002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jc w:val="both"/>
        <w:rPr>
          <w:rFonts w:ascii="Manrope" w:cs="Manrope" w:eastAsia="Manrope" w:hAnsi="Manrope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anrope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7f7f8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anrope-regular.ttf"/><Relationship Id="rId2" Type="http://schemas.openxmlformats.org/officeDocument/2006/relationships/font" Target="fonts/Manrope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